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7" w:rsidRPr="004325F7" w:rsidRDefault="004325F7" w:rsidP="004325F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325F7">
        <w:rPr>
          <w:rFonts w:ascii="Times New Roman" w:hAnsi="Times New Roman" w:cs="Times New Roman"/>
          <w:b/>
          <w:sz w:val="28"/>
          <w:szCs w:val="24"/>
          <w:u w:val="single"/>
        </w:rPr>
        <w:t xml:space="preserve">Outreach </w:t>
      </w:r>
      <w:proofErr w:type="spellStart"/>
      <w:r w:rsidRPr="004325F7">
        <w:rPr>
          <w:rFonts w:ascii="Times New Roman" w:hAnsi="Times New Roman" w:cs="Times New Roman"/>
          <w:b/>
          <w:sz w:val="28"/>
          <w:szCs w:val="24"/>
          <w:u w:val="single"/>
        </w:rPr>
        <w:t>programme</w:t>
      </w:r>
      <w:proofErr w:type="spellEnd"/>
      <w:r w:rsidRPr="004325F7">
        <w:rPr>
          <w:rFonts w:ascii="Times New Roman" w:hAnsi="Times New Roman" w:cs="Times New Roman"/>
          <w:b/>
          <w:sz w:val="28"/>
          <w:szCs w:val="24"/>
          <w:u w:val="single"/>
        </w:rPr>
        <w:t xml:space="preserve"> at IITG</w:t>
      </w:r>
    </w:p>
    <w:p w:rsidR="00A64DD1" w:rsidRPr="001C308D" w:rsidRDefault="004325F7" w:rsidP="004325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8D">
        <w:rPr>
          <w:rFonts w:ascii="Times New Roman" w:hAnsi="Times New Roman" w:cs="Times New Roman"/>
          <w:sz w:val="24"/>
          <w:szCs w:val="24"/>
        </w:rPr>
        <w:t xml:space="preserve">An outreach </w:t>
      </w:r>
      <w:proofErr w:type="spellStart"/>
      <w:r w:rsidRPr="001C308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C308D">
        <w:rPr>
          <w:rFonts w:ascii="Times New Roman" w:hAnsi="Times New Roman" w:cs="Times New Roman"/>
          <w:sz w:val="24"/>
          <w:szCs w:val="24"/>
        </w:rPr>
        <w:t xml:space="preserve"> by Outreach Office, IIT </w:t>
      </w:r>
      <w:proofErr w:type="spellStart"/>
      <w:r w:rsidRPr="001C308D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1C308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C308D">
        <w:rPr>
          <w:rFonts w:ascii="Times New Roman" w:hAnsi="Times New Roman" w:cs="Times New Roman"/>
          <w:sz w:val="24"/>
          <w:szCs w:val="24"/>
        </w:rPr>
        <w:t>Jagiroad</w:t>
      </w:r>
      <w:proofErr w:type="spellEnd"/>
      <w:r w:rsidRPr="001C308D">
        <w:rPr>
          <w:rFonts w:ascii="Times New Roman" w:hAnsi="Times New Roman" w:cs="Times New Roman"/>
          <w:sz w:val="24"/>
          <w:szCs w:val="24"/>
        </w:rPr>
        <w:t xml:space="preserve"> College, organized by Department of Physics, in collaboration with IQAC, </w:t>
      </w:r>
      <w:proofErr w:type="spellStart"/>
      <w:r w:rsidRPr="001C308D">
        <w:rPr>
          <w:rFonts w:ascii="Times New Roman" w:hAnsi="Times New Roman" w:cs="Times New Roman"/>
          <w:sz w:val="24"/>
          <w:szCs w:val="24"/>
        </w:rPr>
        <w:t>Jagiroad</w:t>
      </w:r>
      <w:proofErr w:type="spellEnd"/>
      <w:r w:rsidRPr="001C308D">
        <w:rPr>
          <w:rFonts w:ascii="Times New Roman" w:hAnsi="Times New Roman" w:cs="Times New Roman"/>
          <w:sz w:val="24"/>
          <w:szCs w:val="24"/>
        </w:rPr>
        <w:t xml:space="preserve"> College held on 30</w:t>
      </w:r>
      <w:r w:rsidRPr="001C308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1C308D">
        <w:rPr>
          <w:rFonts w:ascii="Times New Roman" w:hAnsi="Times New Roman" w:cs="Times New Roman"/>
          <w:sz w:val="24"/>
          <w:szCs w:val="24"/>
        </w:rPr>
        <w:t xml:space="preserve">September, 2019. </w:t>
      </w:r>
    </w:p>
    <w:p w:rsidR="001C308D" w:rsidRPr="001C308D" w:rsidRDefault="001C308D" w:rsidP="004A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8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838825" cy="4610100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96632" cy="6492875"/>
                      <a:chOff x="76200" y="228600"/>
                      <a:chExt cx="9096632" cy="6492875"/>
                    </a:xfrm>
                  </a:grpSpPr>
                  <a:sp>
                    <a:nvSpPr>
                      <a:cNvPr id="150" name="Google Shape;150;p8"/>
                      <a:cNvSpPr txBox="1">
                        <a:spLocks noGrp="1"/>
                      </a:cNvSpPr>
                    </a:nvSpPr>
                    <a:spPr>
                      <a:xfrm>
                        <a:off x="76200" y="228600"/>
                        <a:ext cx="8839200" cy="6492875"/>
                      </a:xfrm>
                      <a:prstGeom prst="rect">
                        <a:avLst/>
                      </a:prstGeom>
                      <a:solidFill>
                        <a:srgbClr val="5CF0F7"/>
                      </a:solidFill>
                      <a:ln>
                        <a:noFill/>
                      </a:ln>
                    </a:spPr>
                    <a:txSp>
                      <a:txBody>
                        <a:bodyPr spcFirstLastPara="1" wrap="square" lIns="91425" tIns="45700" rIns="91425" bIns="45700" anchor="t" anchorCtr="0">
                          <a:norm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L="457200" marR="0" lvl="0" indent="-337185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SzPts val="1710"/>
                            <a:buFont typeface="Noto Sans Symbols"/>
                            <a:buChar char="⚫"/>
                            <a:defRPr sz="26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1pPr>
                          <a:lvl2pPr marL="914400" marR="0" lvl="1" indent="-325755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1530"/>
                            <a:buFont typeface="Noto Sans Symbols"/>
                            <a:buChar char="⚫"/>
                            <a:defRPr sz="24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2pPr>
                          <a:lvl3pPr marL="1371600" marR="0" lvl="2" indent="-308610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2"/>
                            </a:buClr>
                            <a:buSzPts val="1260"/>
                            <a:buFont typeface="Noto Sans Symbols"/>
                            <a:buChar char="⚫"/>
                            <a:defRPr sz="21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3pPr>
                          <a:lvl4pPr marL="1828800" marR="0" lvl="3" indent="-302894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SzPts val="1170"/>
                            <a:buFont typeface="Noto Sans Symbols"/>
                            <a:buChar char="⚫"/>
                            <a:defRPr sz="20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4pPr>
                          <a:lvl5pPr marL="2286000" marR="0" lvl="4" indent="-302895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4"/>
                            </a:buClr>
                            <a:buSzPts val="1170"/>
                            <a:buFont typeface="Noto Sans Symbols"/>
                            <a:buChar char="⚫"/>
                            <a:defRPr sz="20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5pPr>
                          <a:lvl6pPr marL="2743200" marR="0" lvl="5" indent="-320039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5"/>
                            </a:buClr>
                            <a:buSzPts val="1440"/>
                            <a:buFont typeface="Noto Sans Symbols"/>
                            <a:buChar char="⚫"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6pPr>
                          <a:lvl7pPr marL="3200400" marR="0" lvl="6" indent="-320039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6"/>
                            </a:buClr>
                            <a:buSzPts val="1440"/>
                            <a:buFont typeface="Noto Sans Symbols"/>
                            <a:buChar char="⚫"/>
                            <a:defRPr sz="16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7pPr>
                          <a:lvl8pPr marL="3657600" marR="0" lvl="7" indent="-342900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dk2"/>
                            </a:buClr>
                            <a:buSzPts val="1800"/>
                            <a:buFont typeface="Constantia"/>
                            <a:buChar char="•"/>
                            <a:defRPr sz="16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8pPr>
                          <a:lvl9pPr marL="4114800" marR="0" lvl="8" indent="-342900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dk2"/>
                            </a:buClr>
                            <a:buSzPts val="1800"/>
                            <a:buFont typeface="Constantia"/>
                            <a:buChar char="•"/>
                            <a:defRPr sz="14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9pPr>
                        </a:lstStyle>
                        <a:p>
                          <a:pPr marL="0" lvl="0" indent="0" algn="ctr" rtl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SzPts val="2280"/>
                            <a:buNone/>
                          </a:pP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Workshop cum demonstrations  </a:t>
                          </a:r>
                          <a:r>
                            <a:rPr lang="en-US" sz="2400" b="1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programme</a:t>
                          </a: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 “Outreach”  conducted by outreach education, IIT </a:t>
                          </a:r>
                          <a:r>
                            <a:rPr lang="en-US" sz="2400" b="1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Guwahati</a:t>
                          </a: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 on 30</a:t>
                          </a:r>
                          <a:r>
                            <a:rPr lang="en-US" sz="2400" b="1" baseline="30000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th</a:t>
                          </a: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 </a:t>
                          </a:r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September </a:t>
                          </a: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2019</a:t>
                          </a:r>
                          <a:endParaRPr sz="2400" b="1">
                            <a:solidFill>
                              <a:srgbClr val="7030A0"/>
                            </a:solidFill>
                            <a:latin typeface="Algerian" pitchFamily="82" charset="0"/>
                            <a:ea typeface="Times New Roman"/>
                            <a:cs typeface="Times New Roman"/>
                            <a:sym typeface="Times New Roman"/>
                          </a:endParaRPr>
                        </a:p>
                        <a:p>
                          <a:pPr marL="274320" lvl="0" indent="-153670" algn="just" rtl="0">
                            <a:spcBef>
                              <a:spcPts val="400"/>
                            </a:spcBef>
                            <a:spcAft>
                              <a:spcPts val="0"/>
                            </a:spcAft>
                            <a:buSzPts val="1900"/>
                            <a:buNone/>
                          </a:pPr>
                          <a:endParaRPr sz="2000" b="1">
                            <a:latin typeface="Times New Roman"/>
                            <a:ea typeface="Times New Roman"/>
                            <a:cs typeface="Times New Roman"/>
                            <a:sym typeface="Times New Roman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1" name="Google Shape;151;p8"/>
                      <a:cNvSpPr txBox="1">
                        <a:spLocks noGrp="1"/>
                      </a:cNvSpPr>
                    </a:nvSpPr>
                    <a:spPr>
                      <a:xfrm>
                        <a:off x="76200" y="5889625"/>
                        <a:ext cx="9096632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spcFirstLastPara="1" wrap="square" lIns="0" tIns="0" rIns="0" bIns="0" anchor="b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SzPts val="1400"/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035C75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SzPts val="1400"/>
                            <a:buFont typeface="Arial"/>
                            <a:buNone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SzPts val="1400"/>
                            <a:buFont typeface="Arial"/>
                            <a:buNone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SzPts val="1400"/>
                            <a:buFont typeface="Arial"/>
                            <a:buNone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SzPts val="1400"/>
                            <a:buFont typeface="Arial"/>
                            <a:buNone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SzPts val="1400"/>
                            <a:buFont typeface="Arial"/>
                            <a:buNone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SzPts val="1400"/>
                            <a:buFont typeface="Arial"/>
                            <a:buNone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SzPts val="1400"/>
                            <a:buFont typeface="Arial"/>
                            <a:buNone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SzPts val="1400"/>
                            <a:buFont typeface="Arial"/>
                            <a:buNone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9pPr>
                        </a:lstStyle>
                        <a:p>
                          <a:pPr marL="0" lvl="0" indent="0" algn="ctr" rtl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</a:pPr>
                          <a:r>
                            <a:rPr lang="en-US" sz="2000" dirty="0">
                              <a:solidFill>
                                <a:srgbClr val="7030A0"/>
                              </a:solidFill>
                              <a:latin typeface="Algerian" pitchFamily="82" charset="0"/>
                              <a:ea typeface="Times New Roman"/>
                              <a:cs typeface="Times New Roman"/>
                              <a:sym typeface="Times New Roman"/>
                            </a:rPr>
                            <a:t>Outreach Co-</a:t>
                          </a:r>
                          <a:r>
                            <a:rPr lang="en-US" sz="2000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  <a:ea typeface="Times New Roman"/>
                              <a:cs typeface="Times New Roman"/>
                              <a:sym typeface="Times New Roman"/>
                            </a:rPr>
                            <a:t>ordinator</a:t>
                          </a:r>
                          <a:r>
                            <a:rPr lang="en-US" sz="2000" dirty="0">
                              <a:solidFill>
                                <a:srgbClr val="7030A0"/>
                              </a:solidFill>
                              <a:latin typeface="Algerian" pitchFamily="82" charset="0"/>
                              <a:ea typeface="Times New Roman"/>
                              <a:cs typeface="Times New Roman"/>
                              <a:sym typeface="Times New Roman"/>
                            </a:rPr>
                            <a:t>, IIT </a:t>
                          </a:r>
                          <a:r>
                            <a:rPr lang="en-US" sz="2000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  <a:ea typeface="Times New Roman"/>
                              <a:cs typeface="Times New Roman"/>
                              <a:sym typeface="Times New Roman"/>
                            </a:rPr>
                            <a:t>Guwahati</a:t>
                          </a:r>
                          <a:r>
                            <a:rPr lang="en-US" sz="2000" dirty="0">
                              <a:solidFill>
                                <a:srgbClr val="7030A0"/>
                              </a:solidFill>
                              <a:latin typeface="Algerian" pitchFamily="82" charset="0"/>
                              <a:ea typeface="Times New Roman"/>
                              <a:cs typeface="Times New Roman"/>
                              <a:sym typeface="Times New Roman"/>
                            </a:rPr>
                            <a:t>, Dr </a:t>
                          </a:r>
                          <a:r>
                            <a:rPr lang="en-US" sz="2000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  <a:ea typeface="Times New Roman"/>
                              <a:cs typeface="Times New Roman"/>
                              <a:sym typeface="Times New Roman"/>
                            </a:rPr>
                            <a:t>Sourav</a:t>
                          </a:r>
                          <a:r>
                            <a:rPr lang="en-US" sz="2000" dirty="0">
                              <a:solidFill>
                                <a:srgbClr val="7030A0"/>
                              </a:solidFill>
                              <a:latin typeface="Algerian" pitchFamily="82" charset="0"/>
                              <a:ea typeface="Times New Roman"/>
                              <a:cs typeface="Times New Roman"/>
                              <a:sym typeface="Times New Roman"/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  <a:ea typeface="Times New Roman"/>
                              <a:cs typeface="Times New Roman"/>
                              <a:sym typeface="Times New Roman"/>
                            </a:rPr>
                            <a:t>Basu</a:t>
                          </a:r>
                          <a:r>
                            <a:rPr lang="en-US" sz="2000" dirty="0">
                              <a:solidFill>
                                <a:srgbClr val="7030A0"/>
                              </a:solidFill>
                              <a:latin typeface="Algerian" pitchFamily="82" charset="0"/>
                              <a:ea typeface="Times New Roman"/>
                              <a:cs typeface="Times New Roman"/>
                              <a:sym typeface="Times New Roman"/>
                            </a:rPr>
                            <a:t> presented lecture</a:t>
                          </a:r>
                          <a:endParaRPr sz="2000">
                            <a:solidFill>
                              <a:srgbClr val="7030A0"/>
                            </a:solidFill>
                            <a:latin typeface="Algerian" pitchFamily="82" charset="0"/>
                            <a:ea typeface="Times New Roman"/>
                            <a:cs typeface="Times New Roman"/>
                            <a:sym typeface="Times New Roman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53" name="Google Shape;153;p8" descr="C:\Users\Prabir\Desktop\PHYSICS_24_JAN_2020\PHYSICS_24_JAN_2020\SOLAR_AMBASSADOR_24_JAN_2020_IMG20190920101204_01.jpg"/>
                      <a:cNvPicPr preferRelativeResize="0"/>
                    </a:nvPicPr>
                    <a:blipFill rotWithShape="1">
                      <a:blip r:embed="rId5">
                        <a:alphaModFix/>
                      </a:blip>
                      <a:srcRect/>
                      <a:stretch/>
                    </a:blipFill>
                    <a:spPr>
                      <a:xfrm>
                        <a:off x="4724400" y="2133600"/>
                        <a:ext cx="4191000" cy="3505200"/>
                      </a:xfrm>
                      <a:prstGeom prst="ellipse">
                        <a:avLst/>
                      </a:prstGeom>
                      <a:noFill/>
                      <a:ln w="63500" cap="rnd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1960"/>
                          </a:srgbClr>
                        </a:outerShdw>
                      </a:effectLst>
                    </a:spPr>
                  </a:pic>
                  <a:pic>
                    <a:nvPicPr>
                      <a:cNvPr id="154" name="Google Shape;154;p8" descr="C:\Users\Prabir\Desktop\PHYSICS_24_JAN_2020\PHYSICS_24_JAN_2020\PHYSICS_24_JAN_2020\PHYSICS_24_JAN_2020\OUT_REACH_24_JANIMG-20190930-WA0012.jpg"/>
                      <a:cNvPicPr preferRelativeResize="0"/>
                    </a:nvPicPr>
                    <a:blipFill rotWithShape="1">
                      <a:blip r:embed="rId6">
                        <a:alphaModFix/>
                      </a:blip>
                      <a:srcRect/>
                      <a:stretch/>
                    </a:blipFill>
                    <a:spPr>
                      <a:xfrm>
                        <a:off x="381000" y="2133600"/>
                        <a:ext cx="3962400" cy="3505200"/>
                      </a:xfrm>
                      <a:prstGeom prst="ellipse">
                        <a:avLst/>
                      </a:prstGeom>
                      <a:noFill/>
                      <a:ln w="63500" cap="rnd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1960"/>
                          </a:srgbClr>
                        </a:outerShdw>
                      </a:effectLst>
                    </a:spPr>
                  </a:pic>
                </lc:lockedCanvas>
              </a:graphicData>
            </a:graphic>
          </wp:inline>
        </w:drawing>
      </w:r>
    </w:p>
    <w:p w:rsidR="00136DA4" w:rsidRPr="004325F7" w:rsidRDefault="002B6175" w:rsidP="004A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5F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53075" cy="489585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6542950"/>
                      <a:chOff x="333102" y="178525"/>
                      <a:chExt cx="8610600" cy="6542950"/>
                    </a:xfrm>
                  </a:grpSpPr>
                  <a:sp>
                    <a:nvSpPr>
                      <a:cNvPr id="159" name="Google Shape;159;p9"/>
                      <a:cNvSpPr txBox="1">
                        <a:spLocks noGrp="1"/>
                      </a:cNvSpPr>
                    </a:nvSpPr>
                    <a:spPr>
                      <a:xfrm>
                        <a:off x="333102" y="178525"/>
                        <a:ext cx="8610600" cy="6444344"/>
                      </a:xfrm>
                      <a:prstGeom prst="rect">
                        <a:avLst/>
                      </a:prstGeom>
                      <a:solidFill>
                        <a:srgbClr val="C4EEFF"/>
                      </a:solidFill>
                      <a:ln>
                        <a:noFill/>
                      </a:ln>
                    </a:spPr>
                    <a:txSp>
                      <a:txBody>
                        <a:bodyPr spcFirstLastPara="1" wrap="square" lIns="91425" tIns="45700" rIns="91425" bIns="45700" anchor="t" anchorCtr="0">
                          <a:norm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L="457200" marR="0" lvl="0" indent="-337185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SzPts val="1710"/>
                            <a:buFont typeface="Noto Sans Symbols"/>
                            <a:buChar char="⚫"/>
                            <a:defRPr sz="26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1pPr>
                          <a:lvl2pPr marL="914400" marR="0" lvl="1" indent="-325755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1530"/>
                            <a:buFont typeface="Noto Sans Symbols"/>
                            <a:buChar char="⚫"/>
                            <a:defRPr sz="24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2pPr>
                          <a:lvl3pPr marL="1371600" marR="0" lvl="2" indent="-308610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2"/>
                            </a:buClr>
                            <a:buSzPts val="1260"/>
                            <a:buFont typeface="Noto Sans Symbols"/>
                            <a:buChar char="⚫"/>
                            <a:defRPr sz="21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3pPr>
                          <a:lvl4pPr marL="1828800" marR="0" lvl="3" indent="-302894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SzPts val="1170"/>
                            <a:buFont typeface="Noto Sans Symbols"/>
                            <a:buChar char="⚫"/>
                            <a:defRPr sz="20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4pPr>
                          <a:lvl5pPr marL="2286000" marR="0" lvl="4" indent="-302895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4"/>
                            </a:buClr>
                            <a:buSzPts val="1170"/>
                            <a:buFont typeface="Noto Sans Symbols"/>
                            <a:buChar char="⚫"/>
                            <a:defRPr sz="20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5pPr>
                          <a:lvl6pPr marL="2743200" marR="0" lvl="5" indent="-320039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5"/>
                            </a:buClr>
                            <a:buSzPts val="1440"/>
                            <a:buFont typeface="Noto Sans Symbols"/>
                            <a:buChar char="⚫"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6pPr>
                          <a:lvl7pPr marL="3200400" marR="0" lvl="6" indent="-320039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6"/>
                            </a:buClr>
                            <a:buSzPts val="1440"/>
                            <a:buFont typeface="Noto Sans Symbols"/>
                            <a:buChar char="⚫"/>
                            <a:defRPr sz="16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7pPr>
                          <a:lvl8pPr marL="3657600" marR="0" lvl="7" indent="-342900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dk2"/>
                            </a:buClr>
                            <a:buSzPts val="1800"/>
                            <a:buFont typeface="Constantia"/>
                            <a:buChar char="•"/>
                            <a:defRPr sz="16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8pPr>
                          <a:lvl9pPr marL="4114800" marR="0" lvl="8" indent="-342900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dk2"/>
                            </a:buClr>
                            <a:buSzPts val="1800"/>
                            <a:buFont typeface="Constantia"/>
                            <a:buChar char="•"/>
                            <a:defRPr sz="14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9pPr>
                        </a:lstStyle>
                        <a:p>
                          <a:pPr marL="0" lvl="0" indent="0" algn="ctr" rtl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SzPts val="1900"/>
                            <a:buNone/>
                          </a:pP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Principal of the College, Dr. B. C. </a:t>
                          </a:r>
                          <a:r>
                            <a:rPr lang="en-US" sz="2400" b="1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Neog</a:t>
                          </a: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 and IQAC Coordinator, Dr </a:t>
                          </a:r>
                          <a:r>
                            <a:rPr lang="en-US" sz="2400" b="1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Utpal</a:t>
                          </a: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 </a:t>
                          </a:r>
                          <a:r>
                            <a:rPr lang="en-US" sz="2400" b="1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Rajguru</a:t>
                          </a: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  with Outreach Education Team, IIT </a:t>
                          </a:r>
                          <a:r>
                            <a:rPr lang="en-US" sz="2400" b="1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Guwahati</a:t>
                          </a:r>
                          <a:endParaRPr sz="2400" b="1">
                            <a:solidFill>
                              <a:srgbClr val="7030A0"/>
                            </a:solidFill>
                            <a:latin typeface="Algerian" pitchFamily="82" charset="0"/>
                            <a:ea typeface="Times New Roman"/>
                            <a:cs typeface="Times New Roman"/>
                            <a:sym typeface="Times New Roman"/>
                          </a:endParaRPr>
                        </a:p>
                        <a:p>
                          <a:pPr marL="274320" lvl="0" indent="-153670" algn="just" rtl="0">
                            <a:spcBef>
                              <a:spcPts val="400"/>
                            </a:spcBef>
                            <a:spcAft>
                              <a:spcPts val="0"/>
                            </a:spcAft>
                            <a:buSzPts val="1900"/>
                            <a:buNone/>
                          </a:pPr>
                          <a:endParaRPr sz="2400" b="1">
                            <a:solidFill>
                              <a:srgbClr val="7030A0"/>
                            </a:solidFill>
                            <a:latin typeface="Algerian" pitchFamily="82" charset="0"/>
                            <a:ea typeface="Times New Roman"/>
                            <a:cs typeface="Times New Roman"/>
                            <a:sym typeface="Times New Roman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0" name="Google Shape;160;p9"/>
                      <a:cNvSpPr txBox="1">
                        <a:spLocks noGrp="1"/>
                      </a:cNvSpPr>
                    </a:nvSpPr>
                    <a:spPr>
                      <a:xfrm>
                        <a:off x="7924800" y="6356350"/>
                        <a:ext cx="76200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spcFirstLastPara="1" wrap="square" lIns="0" tIns="0" rIns="0" bIns="0" anchor="b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L="0" marR="0" lvl="0" indent="0" algn="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888888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1pPr>
                          <a:lvl2pPr marL="0" marR="0" lvl="1" indent="0" algn="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888888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2pPr>
                          <a:lvl3pPr marL="0" marR="0" lvl="2" indent="0" algn="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888888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3pPr>
                          <a:lvl4pPr marL="0" marR="0" lvl="3" indent="0" algn="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888888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4pPr>
                          <a:lvl5pPr marL="0" marR="0" lvl="4" indent="0" algn="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888888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5pPr>
                          <a:lvl6pPr marL="0" marR="0" lvl="5" indent="0" algn="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888888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6pPr>
                          <a:lvl7pPr marL="0" marR="0" lvl="6" indent="0" algn="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888888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7pPr>
                          <a:lvl8pPr marL="0" marR="0" lvl="7" indent="0" algn="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888888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8pPr>
                          <a:lvl9pPr marL="0" marR="0" lvl="8" indent="0" algn="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buNone/>
                            <a:defRPr sz="1200" b="0" i="0" u="none" strike="noStrike" cap="none">
                              <a:solidFill>
                                <a:srgbClr val="888888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9pPr>
                        </a:lstStyle>
                        <a:p>
                          <a:pPr marL="0" lvl="0" indent="0" algn="ctr" rtl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</a:pPr>
                          <a:fld id="{00000000-1234-1234-1234-123412341234}" type="slidenum">
                            <a:rPr lang="en-US" b="1">
                              <a:solidFill>
                                <a:srgbClr val="000000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pPr marL="0" lvl="0" indent="0" algn="ctr" rtl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t>9</a:t>
                          </a:fld>
                          <a:endParaRPr b="1">
                            <a:solidFill>
                              <a:srgbClr val="000000"/>
                            </a:solidFill>
                            <a:latin typeface="Times New Roman"/>
                            <a:ea typeface="Times New Roman"/>
                            <a:cs typeface="Times New Roman"/>
                            <a:sym typeface="Times New Roman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61" name="Google Shape;161;p9" descr="C:\Users\Prabir\Desktop\PHYSICS_24_JAN_2020\PHYSICS_24_JAN_2020\PHYSICS_24_JAN_2020\PHYSICS_24_JAN_2020\iqac_IMG-20190930-WA0005.jpg"/>
                      <a:cNvPicPr preferRelativeResize="0"/>
                    </a:nvPicPr>
                    <a:blipFill rotWithShape="1">
                      <a:blip r:embed="rId7">
                        <a:alphaModFix/>
                      </a:blip>
                      <a:srcRect/>
                      <a:stretch/>
                    </a:blipFill>
                    <a:spPr>
                      <a:xfrm>
                        <a:off x="1409701" y="1685109"/>
                        <a:ext cx="6336573" cy="4906191"/>
                      </a:xfrm>
                      <a:prstGeom prst="ellipse">
                        <a:avLst/>
                      </a:prstGeom>
                      <a:noFill/>
                      <a:ln w="63500" cap="rnd" cmpd="sng">
                        <a:solidFill>
                          <a:srgbClr val="33333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1960"/>
                          </a:srgbClr>
                        </a:outerShdw>
                      </a:effectLst>
                    </a:spPr>
                  </a:pic>
                </lc:lockedCanvas>
              </a:graphicData>
            </a:graphic>
          </wp:inline>
        </w:drawing>
      </w:r>
    </w:p>
    <w:sectPr w:rsidR="00136DA4" w:rsidRPr="004325F7" w:rsidSect="0013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EC5"/>
    <w:multiLevelType w:val="hybridMultilevel"/>
    <w:tmpl w:val="8C2868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168A1"/>
    <w:multiLevelType w:val="hybridMultilevel"/>
    <w:tmpl w:val="C728D2E8"/>
    <w:lvl w:ilvl="0" w:tplc="83D4E2C6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22AE4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C305E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66D78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89C3C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4366C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ED3FC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885EE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46B36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175"/>
    <w:rsid w:val="00136DA4"/>
    <w:rsid w:val="001C308D"/>
    <w:rsid w:val="002B6175"/>
    <w:rsid w:val="004325F7"/>
    <w:rsid w:val="004A74EB"/>
    <w:rsid w:val="00A6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3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2022-11-02T05:55:00Z</dcterms:created>
  <dcterms:modified xsi:type="dcterms:W3CDTF">2022-11-02T06:09:00Z</dcterms:modified>
</cp:coreProperties>
</file>